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tabs>
          <w:tab w:val="left" w:pos="850"/>
        </w:tabs>
        <w:rPr/>
      </w:pPr>
      <w:bookmarkStart w:colFirst="0" w:colLast="0" w:name="_heading=h.gjdgxs" w:id="0"/>
      <w:bookmarkEnd w:id="0"/>
      <w:r w:rsidDel="00000000" w:rsidR="00000000" w:rsidRPr="00000000">
        <w:rPr>
          <w:rtl w:val="0"/>
        </w:rPr>
        <w:t xml:space="preserve">Presseinformation </w:t>
      </w:r>
    </w:p>
    <w:p w:rsidR="00000000" w:rsidDel="00000000" w:rsidP="00000000" w:rsidRDefault="00000000" w:rsidRPr="00000000" w14:paraId="00000002">
      <w:pPr>
        <w:pStyle w:val="Heading1"/>
        <w:tabs>
          <w:tab w:val="left" w:pos="850"/>
        </w:tabs>
        <w:rPr/>
      </w:pPr>
      <w:bookmarkStart w:colFirst="0" w:colLast="0" w:name="_heading=h.30j0zll" w:id="1"/>
      <w:bookmarkEnd w:id="1"/>
      <w:r w:rsidDel="00000000" w:rsidR="00000000" w:rsidRPr="00000000">
        <w:rPr>
          <w:rtl w:val="0"/>
        </w:rPr>
        <w:t xml:space="preserve">Koenig &amp; Bauer führt 35-Stunden-Woche in Sachsen ein</w:t>
      </w:r>
    </w:p>
    <w:p w:rsidR="00000000" w:rsidDel="00000000" w:rsidP="00000000" w:rsidRDefault="00000000" w:rsidRPr="00000000" w14:paraId="00000003">
      <w:pPr>
        <w:pStyle w:val="Subtitle"/>
        <w:rPr/>
      </w:pPr>
      <w:r w:rsidDel="00000000" w:rsidR="00000000" w:rsidRPr="00000000">
        <w:rPr>
          <w:rtl w:val="0"/>
        </w:rPr>
        <w:t xml:space="preserve">Druckmaschinenhersteller realisiert schrittweise Arbeitszeitverkürzung bei vollem Lohnausgleich</w:t>
      </w:r>
    </w:p>
    <w:p w:rsidR="00000000" w:rsidDel="00000000" w:rsidP="00000000" w:rsidRDefault="00000000" w:rsidRPr="00000000" w14:paraId="00000004">
      <w:pPr>
        <w:pBdr>
          <w:top w:space="0" w:sz="0" w:val="nil"/>
          <w:left w:space="0" w:sz="0" w:val="nil"/>
          <w:bottom w:space="0" w:sz="0" w:val="nil"/>
          <w:right w:space="0" w:sz="0" w:val="nil"/>
          <w:between w:space="0" w:sz="0" w:val="nil"/>
        </w:pBdr>
        <w:spacing w:after="0" w:lineRule="auto"/>
        <w:ind w:left="340" w:firstLine="0"/>
        <w:rPr>
          <w:color w:val="000000"/>
        </w:rPr>
      </w:pPr>
      <w:r w:rsidDel="00000000" w:rsidR="00000000" w:rsidRPr="00000000">
        <w:rPr>
          <w:rtl w:val="0"/>
        </w:rPr>
      </w:r>
    </w:p>
    <w:p w:rsidR="00000000" w:rsidDel="00000000" w:rsidP="00000000" w:rsidRDefault="00000000" w:rsidRPr="00000000" w14:paraId="00000005">
      <w:pPr>
        <w:numPr>
          <w:ilvl w:val="0"/>
          <w:numId w:val="1"/>
        </w:numPr>
        <w:pBdr>
          <w:top w:space="0" w:sz="0" w:val="nil"/>
          <w:left w:space="0" w:sz="0" w:val="nil"/>
          <w:bottom w:space="0" w:sz="0" w:val="nil"/>
          <w:right w:space="0" w:sz="0" w:val="nil"/>
          <w:between w:space="0" w:sz="0" w:val="nil"/>
        </w:pBdr>
        <w:spacing w:after="0" w:lineRule="auto"/>
        <w:ind w:left="340" w:hanging="340"/>
        <w:rPr/>
      </w:pPr>
      <w:r w:rsidDel="00000000" w:rsidR="00000000" w:rsidRPr="00000000">
        <w:rPr>
          <w:rtl w:val="0"/>
        </w:rPr>
        <w:t xml:space="preserve">Arbeitszeitreduzierung bei vollem Lohnausgleich, stufenweise ab 2023</w:t>
      </w:r>
    </w:p>
    <w:p w:rsidR="00000000" w:rsidDel="00000000" w:rsidP="00000000" w:rsidRDefault="00000000" w:rsidRPr="00000000" w14:paraId="00000006">
      <w:pPr>
        <w:numPr>
          <w:ilvl w:val="0"/>
          <w:numId w:val="1"/>
        </w:numPr>
        <w:pBdr>
          <w:top w:space="0" w:sz="0" w:val="nil"/>
          <w:left w:space="0" w:sz="0" w:val="nil"/>
          <w:bottom w:space="0" w:sz="0" w:val="nil"/>
          <w:right w:space="0" w:sz="0" w:val="nil"/>
          <w:between w:space="0" w:sz="0" w:val="nil"/>
        </w:pBdr>
        <w:spacing w:after="0" w:lineRule="auto"/>
        <w:ind w:left="340" w:hanging="340"/>
        <w:rPr/>
      </w:pPr>
      <w:r w:rsidDel="00000000" w:rsidR="00000000" w:rsidRPr="00000000">
        <w:rPr>
          <w:rtl w:val="0"/>
        </w:rPr>
        <w:t xml:space="preserve">100 Prozent der im Tarif verankerten Leistungen bleiben erhalten</w:t>
      </w:r>
    </w:p>
    <w:p w:rsidR="00000000" w:rsidDel="00000000" w:rsidP="00000000" w:rsidRDefault="00000000" w:rsidRPr="00000000" w14:paraId="00000007">
      <w:pPr>
        <w:numPr>
          <w:ilvl w:val="0"/>
          <w:numId w:val="1"/>
        </w:numPr>
        <w:spacing w:after="0" w:lineRule="auto"/>
        <w:ind w:left="340" w:hanging="340"/>
        <w:rPr/>
      </w:pPr>
      <w:r w:rsidDel="00000000" w:rsidR="00000000" w:rsidRPr="00000000">
        <w:rPr>
          <w:rtl w:val="0"/>
        </w:rPr>
        <w:t xml:space="preserve">Neues Modell von Koenig &amp; Bauer kann wegweisend sein</w:t>
      </w:r>
    </w:p>
    <w:p w:rsidR="00000000" w:rsidDel="00000000" w:rsidP="00000000" w:rsidRDefault="00000000" w:rsidRPr="00000000" w14:paraId="00000008">
      <w:pPr>
        <w:spacing w:after="0" w:lineRule="auto"/>
        <w:ind w:left="340" w:firstLine="0"/>
        <w:rPr/>
      </w:pPr>
      <w:r w:rsidDel="00000000" w:rsidR="00000000" w:rsidRPr="00000000">
        <w:rPr>
          <w:rtl w:val="0"/>
        </w:rPr>
      </w:r>
    </w:p>
    <w:p w:rsidR="00000000" w:rsidDel="00000000" w:rsidP="00000000" w:rsidRDefault="00000000" w:rsidRPr="00000000" w14:paraId="00000009">
      <w:pPr>
        <w:rPr/>
      </w:pPr>
      <w:r w:rsidDel="00000000" w:rsidR="00000000" w:rsidRPr="00000000">
        <w:rPr>
          <w:b w:val="1"/>
          <w:color w:val="002355"/>
          <w:sz w:val="40"/>
          <w:szCs w:val="40"/>
          <w:rtl w:val="0"/>
        </w:rPr>
        <w:br w:type="textWrapping"/>
      </w:r>
      <w:r w:rsidDel="00000000" w:rsidR="00000000" w:rsidRPr="00000000">
        <w:rPr>
          <w:rtl w:val="0"/>
        </w:rPr>
        <w:t xml:space="preserve">Würzburg, 31.03.2022</w:t>
        <w:br w:type="textWrapping"/>
        <w:t xml:space="preserve">Koenig &amp; Bauer schließt die Kluft zwischen unterschiedlichen Arbeitszeiten in Ost- und Westdeutschland. In einer Vereinbarung, die seit 29.03.2022 wirksam ist, definiert der Druckmaschinenhersteller damit einen Fahrplan zur Einführung der 35-Stunden-Woche an seinem sächsischen Konzernstandort Radebeul. Ab 2023 soll die wöchentliche Arbeitszeit schrittweise sinken, bis sie auf westdeutschem Niveau liegt.</w:t>
      </w:r>
    </w:p>
    <w:p w:rsidR="00000000" w:rsidDel="00000000" w:rsidP="00000000" w:rsidRDefault="00000000" w:rsidRPr="00000000" w14:paraId="0000000A">
      <w:pPr>
        <w:rPr/>
      </w:pPr>
      <w:r w:rsidDel="00000000" w:rsidR="00000000" w:rsidRPr="00000000">
        <w:rPr>
          <w:rtl w:val="0"/>
        </w:rPr>
        <w:t xml:space="preserve">In der westdeutschen Metall- und Elektroindustrie gilt seit 1995 die 35-Stunden-Woche. Der Wunsch nach einer Angleichung der Arbeitszeit in Ostdeutschland ließ sich bislang in der Fläche jedoch nicht realisieren. Gewerkschaft und Arbeitgeberverband sahen sich seit der Wiedervereinigung nicht in der Lage, eine Lösung für einen Flächentarifvertrag, der diese Angleichung geregelt hätte, zu erzielen und haben das Finden einer Lösung 2021 den Betrieben übertragen.</w:t>
      </w:r>
    </w:p>
    <w:p w:rsidR="00000000" w:rsidDel="00000000" w:rsidP="00000000" w:rsidRDefault="00000000" w:rsidRPr="00000000" w14:paraId="0000000B">
      <w:pPr>
        <w:rPr/>
      </w:pPr>
      <w:r w:rsidDel="00000000" w:rsidR="00000000" w:rsidRPr="00000000">
        <w:rPr>
          <w:rtl w:val="0"/>
        </w:rPr>
        <w:t xml:space="preserve">Der Vorstand von Koenig &amp; Bauer hat daher, gemeinsam mit dem Betriebsrat, eine Vereinbarung getroffen, die den Beschäftigten in Sachsen eine Perspektive bietet, über 30 Jahre nach der deutschen Wiedervereinigung die Wochenarbeitszeit anzugleichen. Mit dem Blick auf die Belegschaft und die Historie der Wiedervereinigung war es beiden Betriebsparteien wichtig, dass diese Angleichung nicht von der Belegschaft bezahlt wird und zugleich wirtschaftlich verkraftet werden kann. Demnach wird die Arbeitszeit Anfang 2023 zunächst auf 37,5 Stunden und in den Folgejahren jeweils um 15 Minuten reduziert. Die Zeitachse bis zur Angleichung reicht zwar bis zum Jahr 2033, bedeutet im Gegenzug für die Belegschaft aber keinerlei entgeltlichen Verzicht. </w:t>
      </w:r>
    </w:p>
    <w:p w:rsidR="00000000" w:rsidDel="00000000" w:rsidP="00000000" w:rsidRDefault="00000000" w:rsidRPr="00000000" w14:paraId="0000000C">
      <w:pPr>
        <w:rPr/>
      </w:pPr>
      <w:sdt>
        <w:sdtPr>
          <w:tag w:val="goog_rdk_0"/>
        </w:sdtPr>
        <w:sdtContent>
          <w:r w:rsidDel="00000000" w:rsidR="00000000" w:rsidRPr="00000000">
            <w:rPr>
              <w:rFonts w:ascii="Arial Unicode MS" w:cs="Arial Unicode MS" w:eastAsia="Arial Unicode MS" w:hAnsi="Arial Unicode MS"/>
              <w:rtl w:val="0"/>
            </w:rPr>
            <w:t xml:space="preserve">Vorstandssprecher Dr. Andreas Pleßke sieht in dem Modell einen Ansatz für weitere Branchen: “Wir sind das erste Unternehmen außerhalb der Automobilindustrie, das eine betriebsinterne Lösung zur Arbeitszeitverkürzung geschaffen hat ⎼ und das bei vollem Lohnausgleich.” </w:t>
          </w:r>
        </w:sdtContent>
      </w:sdt>
    </w:p>
    <w:p w:rsidR="00000000" w:rsidDel="00000000" w:rsidP="00000000" w:rsidRDefault="00000000" w:rsidRPr="00000000" w14:paraId="0000000D">
      <w:pPr>
        <w:pStyle w:val="Heading3"/>
        <w:rPr/>
      </w:pPr>
      <w:bookmarkStart w:colFirst="0" w:colLast="0" w:name="_heading=h.1fob9te" w:id="2"/>
      <w:bookmarkEnd w:id="2"/>
      <w:r w:rsidDel="00000000" w:rsidR="00000000" w:rsidRPr="00000000">
        <w:rPr>
          <w:rtl w:val="0"/>
        </w:rPr>
        <w:t xml:space="preserve">Konstruktive Zusammenarbeit für gute Lösungen</w:t>
      </w:r>
    </w:p>
    <w:p w:rsidR="00000000" w:rsidDel="00000000" w:rsidP="00000000" w:rsidRDefault="00000000" w:rsidRPr="00000000" w14:paraId="0000000E">
      <w:pPr>
        <w:rPr/>
      </w:pPr>
      <w:bookmarkStart w:colFirst="0" w:colLast="0" w:name="_heading=h.3dy6vkm" w:id="3"/>
      <w:bookmarkEnd w:id="3"/>
      <w:sdt>
        <w:sdtPr>
          <w:tag w:val="goog_rdk_1"/>
        </w:sdtPr>
        <w:sdtContent>
          <w:r w:rsidDel="00000000" w:rsidR="00000000" w:rsidRPr="00000000">
            <w:rPr>
              <w:rFonts w:ascii="Arial Unicode MS" w:cs="Arial Unicode MS" w:eastAsia="Arial Unicode MS" w:hAnsi="Arial Unicode MS"/>
              <w:rtl w:val="0"/>
            </w:rPr>
            <w:t xml:space="preserve">Zufrieden mit dem vereinbarten Fahrplan ist auch Dr. Christine Bötsch, Leiterin Globales Personalmanagement bei Koenig &amp; Bauer: “Diese Vereinbarung stellt erneut die vertrauensvolle Zusammenarbeit mit dem Betriebsrat unter Beweis. So können wir gemeinsam ⎼ auch unter Wahrung der unterschiedlichen Interessen – für das Unternehmen und die Belegschaft letztendlich ein sehr gutes Ergebnis erzielen.”</w:t>
          </w:r>
        </w:sdtContent>
      </w:sdt>
    </w:p>
    <w:p w:rsidR="00000000" w:rsidDel="00000000" w:rsidP="00000000" w:rsidRDefault="00000000" w:rsidRPr="00000000" w14:paraId="0000000F">
      <w:pPr>
        <w:rPr/>
      </w:pPr>
      <w:r w:rsidDel="00000000" w:rsidR="00000000" w:rsidRPr="00000000">
        <w:rPr>
          <w:rtl w:val="0"/>
        </w:rPr>
        <w:t xml:space="preserve">Betriebsrat Radebeul Daniel Pfeifer: “Die Anpassung der Arbeitszeit ist aus Sicht des Betriebsrats über drei Jahrzehnte nach der politischen Einheit auch ein Stück sozialer Einheit Gesamtdeutschlands und nicht zuletzt für Koenig &amp; Bauer ein Teil Identität und Ausdruck gemeinsamen Handelns."</w:t>
      </w:r>
    </w:p>
    <w:p w:rsidR="00000000" w:rsidDel="00000000" w:rsidP="00000000" w:rsidRDefault="00000000" w:rsidRPr="00000000" w14:paraId="00000010">
      <w:pPr>
        <w:rPr/>
      </w:pPr>
      <w:r w:rsidDel="00000000" w:rsidR="00000000" w:rsidRPr="00000000">
        <w:rPr>
          <w:rtl w:val="0"/>
        </w:rPr>
      </w:r>
    </w:p>
    <w:p w:rsidR="00000000" w:rsidDel="00000000" w:rsidP="00000000" w:rsidRDefault="00000000" w:rsidRPr="00000000" w14:paraId="00000011">
      <w:pPr>
        <w:pStyle w:val="Heading4"/>
        <w:rPr/>
      </w:pPr>
      <w:bookmarkStart w:colFirst="0" w:colLast="0" w:name="_heading=h.3znysh7" w:id="4"/>
      <w:bookmarkEnd w:id="4"/>
      <w:r w:rsidDel="00000000" w:rsidR="00000000" w:rsidRPr="00000000">
        <w:rPr>
          <w:rtl w:val="0"/>
        </w:rPr>
        <w:t xml:space="preserve">Foto:</w:t>
      </w:r>
    </w:p>
    <w:p w:rsidR="00000000" w:rsidDel="00000000" w:rsidP="00000000" w:rsidRDefault="00000000" w:rsidRPr="00000000" w14:paraId="00000012">
      <w:pPr>
        <w:rPr/>
      </w:pPr>
      <w:r w:rsidDel="00000000" w:rsidR="00000000" w:rsidRPr="00000000">
        <w:rPr>
          <w:rtl w:val="0"/>
        </w:rPr>
        <w:t xml:space="preserve">Nachdem ein Flächentarifvertrag nicht zustande kam, haben Vorstand, Personalmanagement und Betriebsrat für Koenig &amp; Bauer eine eigene Lösung zur Umsetzung der 35-Stunden-Woche in Sachsen erarbeitet</w:t>
      </w:r>
    </w:p>
    <w:p w:rsidR="00000000" w:rsidDel="00000000" w:rsidP="00000000" w:rsidRDefault="00000000" w:rsidRPr="00000000" w14:paraId="00000013">
      <w:pPr>
        <w:rPr/>
      </w:pPr>
      <w:r w:rsidDel="00000000" w:rsidR="00000000" w:rsidRPr="00000000">
        <w:rPr>
          <w:rtl w:val="0"/>
        </w:rPr>
      </w:r>
    </w:p>
    <w:p w:rsidR="00000000" w:rsidDel="00000000" w:rsidP="00000000" w:rsidRDefault="00000000" w:rsidRPr="00000000" w14:paraId="00000014">
      <w:pPr>
        <w:pStyle w:val="Heading4"/>
        <w:rPr/>
      </w:pPr>
      <w:bookmarkStart w:colFirst="0" w:colLast="0" w:name="_heading=h.2et92p0" w:id="5"/>
      <w:bookmarkEnd w:id="5"/>
      <w:r w:rsidDel="00000000" w:rsidR="00000000" w:rsidRPr="00000000">
        <w:rPr>
          <w:rtl w:val="0"/>
        </w:rPr>
        <w:t xml:space="preserve">Ansprechpartner für Presse</w:t>
      </w:r>
    </w:p>
    <w:p w:rsidR="00000000" w:rsidDel="00000000" w:rsidP="00000000" w:rsidRDefault="00000000" w:rsidRPr="00000000" w14:paraId="00000015">
      <w:pPr>
        <w:rPr/>
      </w:pPr>
      <w:r w:rsidDel="00000000" w:rsidR="00000000" w:rsidRPr="00000000">
        <w:rPr>
          <w:rtl w:val="0"/>
        </w:rPr>
        <w:t xml:space="preserve">Koenig &amp; Bauer AG</w:t>
        <w:br w:type="textWrapping"/>
        <w:t xml:space="preserve">Dagmar Ringel</w:t>
        <w:br w:type="textWrapping"/>
        <w:t xml:space="preserve">T +931 909 6756</w:t>
        <w:br w:type="textWrapping"/>
        <w:t xml:space="preserve">M </w:t>
      </w:r>
      <w:hyperlink r:id="rId7">
        <w:r w:rsidDel="00000000" w:rsidR="00000000" w:rsidRPr="00000000">
          <w:rPr>
            <w:color w:val="1155cc"/>
            <w:u w:val="single"/>
            <w:rtl w:val="0"/>
          </w:rPr>
          <w:t xml:space="preserve">dagmar.ringel@koenig-bauer.com</w:t>
        </w:r>
      </w:hyperlink>
      <w:r w:rsidDel="00000000" w:rsidR="00000000" w:rsidRPr="00000000">
        <w:rPr>
          <w:rtl w:val="0"/>
        </w:rPr>
      </w:r>
    </w:p>
    <w:p w:rsidR="00000000" w:rsidDel="00000000" w:rsidP="00000000" w:rsidRDefault="00000000" w:rsidRPr="00000000" w14:paraId="00000016">
      <w:pPr>
        <w:rPr/>
      </w:pPr>
      <w:r w:rsidDel="00000000" w:rsidR="00000000" w:rsidRPr="00000000">
        <w:rPr>
          <w:rtl w:val="0"/>
        </w:rPr>
      </w:r>
    </w:p>
    <w:p w:rsidR="00000000" w:rsidDel="00000000" w:rsidP="00000000" w:rsidRDefault="00000000" w:rsidRPr="00000000" w14:paraId="00000017">
      <w:pPr>
        <w:pStyle w:val="Heading4"/>
        <w:rPr/>
      </w:pPr>
      <w:bookmarkStart w:colFirst="0" w:colLast="0" w:name="_heading=h.tyjcwt" w:id="6"/>
      <w:bookmarkEnd w:id="6"/>
      <w:r w:rsidDel="00000000" w:rsidR="00000000" w:rsidRPr="00000000">
        <w:rPr>
          <w:rtl w:val="0"/>
        </w:rPr>
        <w:t xml:space="preserve">Über Koenig &amp; Bauer</w:t>
      </w:r>
    </w:p>
    <w:p w:rsidR="00000000" w:rsidDel="00000000" w:rsidP="00000000" w:rsidRDefault="00000000" w:rsidRPr="00000000" w14:paraId="00000018">
      <w:pPr>
        <w:rPr/>
      </w:pPr>
      <w:r w:rsidDel="00000000" w:rsidR="00000000" w:rsidRPr="00000000">
        <w:rPr>
          <w:rtl w:val="0"/>
        </w:rPr>
        <w:t xml:space="preserve">Koenig &amp; Bauer ist der älteste Druckmaschinenhersteller der Welt mit dem breitesten Produktprogramm der Branche. Seit über 200 Jahren unterstützt das Unternehmen die Drucker mit innovativer Technik, passgenauen Verfahren und vielfältigen Services. Das Portfolio reicht von Banknoten über Karton-, Folien-, Blech- und Glasverpackungen bis hin zum Bücher-, Display-, Kennzeichnungs-, Dekor-, Magazin-, Werbe- und Zeitungsdruck. Offset- und Flexodruck bei Bogen und Rolle, wasserloser Offset, Stahlstich-, Simultan- und Siebdruck oder digitaler Inkjetdruck – in fast allen Druckverfahren ist Koenig &amp; Bauer zu Hause und häufig führend. Im Geschäftsjahr 2020 erwirtschafteten die 5.593 hoch qualifizierten Mitarbeiterinnen und Mitarbeiter weltweit einen Jahresumsatz von 1,029 Milliarden Euro.</w:t>
      </w:r>
    </w:p>
    <w:p w:rsidR="00000000" w:rsidDel="00000000" w:rsidP="00000000" w:rsidRDefault="00000000" w:rsidRPr="00000000" w14:paraId="00000019">
      <w:pPr>
        <w:rPr/>
      </w:pPr>
      <w:r w:rsidDel="00000000" w:rsidR="00000000" w:rsidRPr="00000000">
        <w:rPr>
          <w:rtl w:val="0"/>
        </w:rPr>
        <w:t xml:space="preserve">Weitere Informationen unter </w:t>
      </w:r>
      <w:hyperlink r:id="rId8">
        <w:r w:rsidDel="00000000" w:rsidR="00000000" w:rsidRPr="00000000">
          <w:rPr>
            <w:color w:val="1155cc"/>
            <w:u w:val="single"/>
            <w:rtl w:val="0"/>
          </w:rPr>
          <w:t xml:space="preserve">www.koenig-bauer.com</w:t>
        </w:r>
      </w:hyperlink>
      <w:r w:rsidDel="00000000" w:rsidR="00000000" w:rsidRPr="00000000">
        <w:rPr>
          <w:rtl w:val="0"/>
        </w:rPr>
      </w:r>
    </w:p>
    <w:p w:rsidR="00000000" w:rsidDel="00000000" w:rsidP="00000000" w:rsidRDefault="00000000" w:rsidRPr="00000000" w14:paraId="0000001A">
      <w:pPr>
        <w:rPr/>
      </w:pPr>
      <w:r w:rsidDel="00000000" w:rsidR="00000000" w:rsidRPr="00000000">
        <w:rPr>
          <w:rtl w:val="0"/>
        </w:rPr>
      </w:r>
    </w:p>
    <w:p w:rsidR="00000000" w:rsidDel="00000000" w:rsidP="00000000" w:rsidRDefault="00000000" w:rsidRPr="00000000" w14:paraId="0000001B">
      <w:pPr>
        <w:rPr/>
      </w:pPr>
      <w:r w:rsidDel="00000000" w:rsidR="00000000" w:rsidRPr="00000000">
        <w:rPr>
          <w:rtl w:val="0"/>
        </w:rPr>
      </w:r>
    </w:p>
    <w:p w:rsidR="00000000" w:rsidDel="00000000" w:rsidP="00000000" w:rsidRDefault="00000000" w:rsidRPr="00000000" w14:paraId="0000001C">
      <w:pPr>
        <w:rPr/>
      </w:pPr>
      <w:r w:rsidDel="00000000" w:rsidR="00000000" w:rsidRPr="00000000">
        <w:rPr>
          <w:rtl w:val="0"/>
        </w:rPr>
      </w:r>
    </w:p>
    <w:sectPr>
      <w:headerReference r:id="rId9" w:type="default"/>
      <w:headerReference r:id="rId10" w:type="first"/>
      <w:headerReference r:id="rId11" w:type="even"/>
      <w:footerReference r:id="rId12" w:type="default"/>
      <w:footerReference r:id="rId13" w:type="first"/>
      <w:footerReference r:id="rId14" w:type="even"/>
      <w:pgSz w:h="16838" w:w="11906" w:orient="portrait"/>
      <w:pgMar w:bottom="1361" w:top="2381" w:left="1418" w:right="1418" w:header="1020" w:footer="17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Arial Unicode MS"/>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0">
    <w:pPr>
      <w:pBdr>
        <w:top w:space="0" w:sz="0" w:val="nil"/>
        <w:left w:space="0" w:sz="0" w:val="nil"/>
        <w:bottom w:space="0" w:sz="0" w:val="nil"/>
        <w:right w:space="0" w:sz="0" w:val="nil"/>
        <w:between w:space="0" w:sz="0" w:val="nil"/>
      </w:pBdr>
      <w:tabs>
        <w:tab w:val="center" w:pos="4536"/>
        <w:tab w:val="right" w:pos="9072"/>
      </w:tabs>
      <w:jc w:val="right"/>
      <w:rPr>
        <w:color w:val="000000"/>
        <w:sz w:val="14"/>
        <w:szCs w:val="14"/>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1">
    <w:pPr>
      <w:widowControl w:val="0"/>
      <w:pBdr>
        <w:top w:space="0" w:sz="0" w:val="nil"/>
        <w:left w:space="0" w:sz="0" w:val="nil"/>
        <w:bottom w:space="0" w:sz="0" w:val="nil"/>
        <w:right w:space="0" w:sz="0" w:val="nil"/>
        <w:between w:space="0" w:sz="0" w:val="nil"/>
      </w:pBdr>
      <w:spacing w:after="0" w:lineRule="auto"/>
      <w:rPr>
        <w:color w:val="000000"/>
        <w:sz w:val="14"/>
        <w:szCs w:val="14"/>
      </w:rPr>
    </w:pPr>
    <w:r w:rsidDel="00000000" w:rsidR="00000000" w:rsidRPr="00000000">
      <w:rPr>
        <w:rtl w:val="0"/>
      </w:rPr>
    </w:r>
  </w:p>
  <w:tbl>
    <w:tblPr>
      <w:tblStyle w:val="Table1"/>
      <w:tblW w:w="9781.0" w:type="dxa"/>
      <w:jc w:val="left"/>
      <w:tblInd w:w="-1.0" w:type="dxa"/>
      <w:tblBorders>
        <w:top w:color="ffffff" w:space="0" w:sz="4" w:val="single"/>
        <w:left w:color="ffffff" w:space="0" w:sz="4" w:val="single"/>
        <w:bottom w:color="ffffff" w:space="0" w:sz="4" w:val="single"/>
        <w:right w:color="ffffff" w:space="0" w:sz="4" w:val="single"/>
        <w:insideH w:color="000000" w:space="0" w:sz="0" w:val="nil"/>
        <w:insideV w:color="ffffff" w:space="0" w:sz="4" w:val="single"/>
      </w:tblBorders>
      <w:tblLayout w:type="fixed"/>
      <w:tblLook w:val="0400"/>
    </w:tblPr>
    <w:tblGrid>
      <w:gridCol w:w="2552"/>
      <w:gridCol w:w="4536"/>
      <w:gridCol w:w="2693"/>
      <w:tblGridChange w:id="0">
        <w:tblGrid>
          <w:gridCol w:w="2552"/>
          <w:gridCol w:w="4536"/>
          <w:gridCol w:w="2693"/>
        </w:tblGrid>
      </w:tblGridChange>
    </w:tblGrid>
    <w:tr>
      <w:trPr>
        <w:cantSplit w:val="0"/>
        <w:trHeight w:val="620" w:hRule="atLeast"/>
        <w:tblHeader w:val="0"/>
      </w:trPr>
      <w:tc>
        <w:tcPr/>
        <w:p w:rsidR="00000000" w:rsidDel="00000000" w:rsidP="00000000" w:rsidRDefault="00000000" w:rsidRPr="00000000" w14:paraId="00000022">
          <w:pPr>
            <w:pBdr>
              <w:top w:space="0" w:sz="0" w:val="nil"/>
              <w:left w:space="0" w:sz="0" w:val="nil"/>
              <w:bottom w:space="0" w:sz="0" w:val="nil"/>
              <w:right w:space="0" w:sz="0" w:val="nil"/>
              <w:between w:space="0" w:sz="0" w:val="nil"/>
            </w:pBdr>
            <w:spacing w:after="240" w:line="288" w:lineRule="auto"/>
            <w:rPr>
              <w:color w:val="000000"/>
              <w:sz w:val="20"/>
              <w:szCs w:val="20"/>
            </w:rPr>
          </w:pPr>
          <w:r w:rsidDel="00000000" w:rsidR="00000000" w:rsidRPr="00000000">
            <w:rPr>
              <w:rtl w:val="0"/>
            </w:rPr>
          </w:r>
        </w:p>
      </w:tc>
      <w:tc>
        <w:tcPr/>
        <w:p w:rsidR="00000000" w:rsidDel="00000000" w:rsidP="00000000" w:rsidRDefault="00000000" w:rsidRPr="00000000" w14:paraId="00000023">
          <w:pPr>
            <w:pBdr>
              <w:top w:space="0" w:sz="0" w:val="nil"/>
              <w:left w:space="0" w:sz="0" w:val="nil"/>
              <w:bottom w:space="0" w:sz="0" w:val="nil"/>
              <w:right w:space="0" w:sz="0" w:val="nil"/>
              <w:between w:space="0" w:sz="0" w:val="nil"/>
            </w:pBdr>
            <w:spacing w:after="240" w:line="288" w:lineRule="auto"/>
            <w:rPr>
              <w:color w:val="000000"/>
              <w:sz w:val="20"/>
              <w:szCs w:val="20"/>
            </w:rPr>
          </w:pPr>
          <w:r w:rsidDel="00000000" w:rsidR="00000000" w:rsidRPr="00000000">
            <w:rPr>
              <w:rtl w:val="0"/>
            </w:rPr>
          </w:r>
        </w:p>
      </w:tc>
      <w:tc>
        <w:tcPr/>
        <w:p w:rsidR="00000000" w:rsidDel="00000000" w:rsidP="00000000" w:rsidRDefault="00000000" w:rsidRPr="00000000" w14:paraId="00000024">
          <w:pPr>
            <w:pBdr>
              <w:top w:space="0" w:sz="0" w:val="nil"/>
              <w:left w:space="0" w:sz="0" w:val="nil"/>
              <w:bottom w:space="0" w:sz="0" w:val="nil"/>
              <w:right w:space="0" w:sz="0" w:val="nil"/>
              <w:between w:space="0" w:sz="0" w:val="nil"/>
            </w:pBdr>
            <w:spacing w:after="240" w:line="288" w:lineRule="auto"/>
            <w:rPr>
              <w:color w:val="000000"/>
              <w:sz w:val="20"/>
              <w:szCs w:val="20"/>
            </w:rPr>
          </w:pPr>
          <w:r w:rsidDel="00000000" w:rsidR="00000000" w:rsidRPr="00000000">
            <w:rPr>
              <w:rtl w:val="0"/>
            </w:rPr>
          </w:r>
        </w:p>
      </w:tc>
    </w:tr>
  </w:tbl>
  <w:p w:rsidR="00000000" w:rsidDel="00000000" w:rsidP="00000000" w:rsidRDefault="00000000" w:rsidRPr="00000000" w14:paraId="00000025">
    <w:pPr>
      <w:pBdr>
        <w:top w:space="0" w:sz="0" w:val="nil"/>
        <w:left w:space="0" w:sz="0" w:val="nil"/>
        <w:bottom w:space="0" w:sz="0" w:val="nil"/>
        <w:right w:space="0" w:sz="0" w:val="nil"/>
        <w:between w:space="0" w:sz="0" w:val="nil"/>
      </w:pBdr>
      <w:tabs>
        <w:tab w:val="center" w:pos="4536"/>
        <w:tab w:val="right" w:pos="9072"/>
      </w:tabs>
      <w:spacing w:after="0" w:lineRule="auto"/>
      <w:jc w:val="right"/>
      <w:rPr>
        <w:color w:val="000000"/>
        <w:sz w:val="14"/>
        <w:szCs w:val="14"/>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6">
    <w:pPr>
      <w:widowControl w:val="0"/>
      <w:pBdr>
        <w:top w:space="0" w:sz="0" w:val="nil"/>
        <w:left w:space="0" w:sz="0" w:val="nil"/>
        <w:bottom w:space="0" w:sz="0" w:val="nil"/>
        <w:right w:space="0" w:sz="0" w:val="nil"/>
        <w:between w:space="0" w:sz="0" w:val="nil"/>
      </w:pBdr>
      <w:spacing w:after="0" w:lineRule="auto"/>
      <w:rPr>
        <w:color w:val="000000"/>
        <w:sz w:val="14"/>
        <w:szCs w:val="14"/>
      </w:rPr>
    </w:pPr>
    <w:r w:rsidDel="00000000" w:rsidR="00000000" w:rsidRPr="00000000">
      <w:rPr>
        <w:rtl w:val="0"/>
      </w:rPr>
    </w:r>
  </w:p>
  <w:tbl>
    <w:tblPr>
      <w:tblStyle w:val="Table2"/>
      <w:tblW w:w="9060.0" w:type="dxa"/>
      <w:jc w:val="left"/>
      <w:tblInd w:w="0.0" w:type="pct"/>
      <w:tblBorders>
        <w:top w:color="ffffff" w:space="0" w:sz="4" w:val="single"/>
        <w:left w:color="ffffff" w:space="0" w:sz="4" w:val="single"/>
        <w:bottom w:color="ffffff" w:space="0" w:sz="4" w:val="single"/>
        <w:right w:color="ffffff" w:space="0" w:sz="4" w:val="single"/>
        <w:insideH w:color="bfbfbf" w:space="0" w:sz="4" w:val="single"/>
        <w:insideV w:color="ffffff" w:space="0" w:sz="4" w:val="single"/>
      </w:tblBorders>
      <w:tblLayout w:type="fixed"/>
      <w:tblLook w:val="0400"/>
    </w:tblPr>
    <w:tblGrid>
      <w:gridCol w:w="4530"/>
      <w:gridCol w:w="4530"/>
      <w:tblGridChange w:id="0">
        <w:tblGrid>
          <w:gridCol w:w="4530"/>
          <w:gridCol w:w="4530"/>
        </w:tblGrid>
      </w:tblGridChange>
    </w:tblGrid>
    <w:tr>
      <w:trPr>
        <w:cantSplit w:val="0"/>
        <w:tblHeader w:val="0"/>
      </w:trPr>
      <w:tc>
        <w:tcPr/>
        <w:p w:rsidR="00000000" w:rsidDel="00000000" w:rsidP="00000000" w:rsidRDefault="00000000" w:rsidRPr="00000000" w14:paraId="00000027">
          <w:pPr>
            <w:pBdr>
              <w:top w:space="0" w:sz="0" w:val="nil"/>
              <w:left w:space="0" w:sz="0" w:val="nil"/>
              <w:bottom w:space="0" w:sz="0" w:val="nil"/>
              <w:right w:space="0" w:sz="0" w:val="nil"/>
              <w:between w:space="0" w:sz="0" w:val="nil"/>
            </w:pBdr>
            <w:tabs>
              <w:tab w:val="center" w:pos="4536"/>
              <w:tab w:val="right" w:pos="9072"/>
            </w:tabs>
            <w:spacing w:line="276" w:lineRule="auto"/>
            <w:rPr>
              <w:color w:val="000000"/>
              <w:sz w:val="14"/>
              <w:szCs w:val="14"/>
            </w:rPr>
          </w:pPr>
          <w:r w:rsidDel="00000000" w:rsidR="00000000" w:rsidRPr="00000000">
            <w:rPr>
              <w:rtl w:val="0"/>
            </w:rPr>
          </w:r>
        </w:p>
      </w:tc>
      <w:tc>
        <w:tcPr/>
        <w:p w:rsidR="00000000" w:rsidDel="00000000" w:rsidP="00000000" w:rsidRDefault="00000000" w:rsidRPr="00000000" w14:paraId="00000028">
          <w:pPr>
            <w:pBdr>
              <w:top w:space="0" w:sz="0" w:val="nil"/>
              <w:left w:space="0" w:sz="0" w:val="nil"/>
              <w:bottom w:space="0" w:sz="0" w:val="nil"/>
              <w:right w:space="0" w:sz="0" w:val="nil"/>
              <w:between w:space="0" w:sz="0" w:val="nil"/>
            </w:pBdr>
            <w:tabs>
              <w:tab w:val="center" w:pos="4536"/>
              <w:tab w:val="right" w:pos="9072"/>
            </w:tabs>
            <w:spacing w:line="276" w:lineRule="auto"/>
            <w:jc w:val="right"/>
            <w:rPr>
              <w:color w:val="000000"/>
              <w:sz w:val="14"/>
              <w:szCs w:val="14"/>
            </w:rPr>
          </w:pPr>
          <w:r w:rsidDel="00000000" w:rsidR="00000000" w:rsidRPr="00000000">
            <w:rPr>
              <w:sz w:val="14"/>
              <w:szCs w:val="14"/>
              <w:rtl w:val="0"/>
            </w:rPr>
            <w:t xml:space="preserve">Koenig &amp; Bauer führt 35-Stunden-Woche in Sachsen ein</w:t>
          </w:r>
          <w:r w:rsidDel="00000000" w:rsidR="00000000" w:rsidRPr="00000000">
            <w:rPr>
              <w:color w:val="000000"/>
              <w:sz w:val="14"/>
              <w:szCs w:val="14"/>
              <w:rtl w:val="0"/>
            </w:rPr>
            <w:t xml:space="preserve"> | </w:t>
          </w:r>
          <w:r w:rsidDel="00000000" w:rsidR="00000000" w:rsidRPr="00000000">
            <w:rPr>
              <w:color w:val="000000"/>
              <w:sz w:val="14"/>
              <w:szCs w:val="14"/>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029">
    <w:pPr>
      <w:pBdr>
        <w:top w:space="0" w:sz="0" w:val="nil"/>
        <w:left w:space="0" w:sz="0" w:val="nil"/>
        <w:bottom w:space="0" w:sz="0" w:val="nil"/>
        <w:right w:space="0" w:sz="0" w:val="nil"/>
        <w:between w:space="0" w:sz="0" w:val="nil"/>
      </w:pBdr>
      <w:tabs>
        <w:tab w:val="center" w:pos="4536"/>
        <w:tab w:val="right" w:pos="9072"/>
      </w:tabs>
      <w:spacing w:after="0" w:lineRule="auto"/>
      <w:jc w:val="right"/>
      <w:rPr>
        <w:color w:val="000000"/>
        <w:sz w:val="14"/>
        <w:szCs w:val="14"/>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D">
    <w:pPr>
      <w:pBdr>
        <w:top w:space="0" w:sz="0" w:val="nil"/>
        <w:left w:space="0" w:sz="0" w:val="nil"/>
        <w:bottom w:space="0" w:sz="0" w:val="nil"/>
        <w:right w:space="0" w:sz="0" w:val="nil"/>
        <w:between w:space="0" w:sz="0" w:val="nil"/>
      </w:pBdr>
      <w:tabs>
        <w:tab w:val="center" w:pos="4536"/>
        <w:tab w:val="right" w:pos="9072"/>
      </w:tabs>
      <w:spacing w:line="240" w:lineRule="auto"/>
      <w:jc w:val="center"/>
      <w:rPr>
        <w:color w:val="000000"/>
        <w:sz w:val="15"/>
        <w:szCs w:val="15"/>
      </w:rPr>
    </w:pPr>
    <w:r w:rsidDel="00000000" w:rsidR="00000000" w:rsidRPr="00000000">
      <w:rPr>
        <w:color w:val="000000"/>
        <w:sz w:val="15"/>
        <w:szCs w:val="15"/>
      </w:rPr>
      <w:drawing>
        <wp:inline distB="0" distT="0" distL="0" distR="0">
          <wp:extent cx="2523600" cy="216000"/>
          <wp:effectExtent b="0" l="0" r="0" t="0"/>
          <wp:docPr id="5"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523600" cy="216000"/>
                  </a:xfrm>
                  <a:prstGeom prst="rect"/>
                  <a:ln/>
                </pic:spPr>
              </pic:pic>
            </a:graphicData>
          </a:graphic>
        </wp:inline>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E">
    <w:pPr>
      <w:pBdr>
        <w:top w:space="0" w:sz="0" w:val="nil"/>
        <w:left w:space="0" w:sz="0" w:val="nil"/>
        <w:bottom w:space="0" w:sz="0" w:val="nil"/>
        <w:right w:space="0" w:sz="0" w:val="nil"/>
        <w:between w:space="0" w:sz="0" w:val="nil"/>
      </w:pBdr>
      <w:tabs>
        <w:tab w:val="center" w:pos="4536"/>
        <w:tab w:val="right" w:pos="9072"/>
      </w:tabs>
      <w:spacing w:line="240" w:lineRule="auto"/>
      <w:rPr>
        <w:color w:val="000000"/>
        <w:sz w:val="15"/>
        <w:szCs w:val="15"/>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F">
    <w:pPr>
      <w:pBdr>
        <w:top w:space="0" w:sz="0" w:val="nil"/>
        <w:left w:space="0" w:sz="0" w:val="nil"/>
        <w:bottom w:space="0" w:sz="0" w:val="nil"/>
        <w:right w:space="0" w:sz="0" w:val="nil"/>
        <w:between w:space="0" w:sz="0" w:val="nil"/>
      </w:pBdr>
      <w:tabs>
        <w:tab w:val="center" w:pos="4536"/>
        <w:tab w:val="right" w:pos="9072"/>
      </w:tabs>
      <w:spacing w:line="240" w:lineRule="auto"/>
      <w:jc w:val="center"/>
      <w:rPr>
        <w:color w:val="000000"/>
        <w:sz w:val="15"/>
        <w:szCs w:val="15"/>
      </w:rPr>
    </w:pPr>
    <w:r w:rsidDel="00000000" w:rsidR="00000000" w:rsidRPr="00000000">
      <w:rPr>
        <w:color w:val="000000"/>
        <w:sz w:val="15"/>
        <w:szCs w:val="15"/>
      </w:rPr>
      <w:drawing>
        <wp:inline distB="0" distT="0" distL="0" distR="0">
          <wp:extent cx="2524721" cy="216000"/>
          <wp:effectExtent b="0" l="0" r="0" t="0"/>
          <wp:docPr id="6"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524721" cy="2160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340" w:hanging="340"/>
      </w:pPr>
      <w:rPr>
        <w:rFonts w:ascii="Times New Roman" w:cs="Times New Roman" w:eastAsia="Times New Roman" w:hAnsi="Times New Roman"/>
      </w:rPr>
    </w:lvl>
    <w:lvl w:ilvl="1">
      <w:start w:val="1"/>
      <w:numFmt w:val="bullet"/>
      <w:lvlText w:val="•"/>
      <w:lvlJc w:val="left"/>
      <w:pPr>
        <w:ind w:left="680" w:hanging="340"/>
      </w:pPr>
      <w:rPr>
        <w:rFonts w:ascii="Times New Roman" w:cs="Times New Roman" w:eastAsia="Times New Roman" w:hAnsi="Times New Roman"/>
      </w:rPr>
    </w:lvl>
    <w:lvl w:ilvl="2">
      <w:start w:val="1"/>
      <w:numFmt w:val="bullet"/>
      <w:lvlText w:val="•"/>
      <w:lvlJc w:val="left"/>
      <w:pPr>
        <w:ind w:left="1020" w:hanging="340"/>
      </w:pPr>
      <w:rPr>
        <w:rFonts w:ascii="Times New Roman" w:cs="Times New Roman" w:eastAsia="Times New Roman" w:hAnsi="Times New Roman"/>
      </w:rPr>
    </w:lvl>
    <w:lvl w:ilvl="3">
      <w:start w:val="1"/>
      <w:numFmt w:val="bullet"/>
      <w:lvlText w:val="•"/>
      <w:lvlJc w:val="left"/>
      <w:pPr>
        <w:ind w:left="1360" w:hanging="340"/>
      </w:pPr>
      <w:rPr>
        <w:rFonts w:ascii="Times New Roman" w:cs="Times New Roman" w:eastAsia="Times New Roman" w:hAnsi="Times New Roman"/>
      </w:rPr>
    </w:lvl>
    <w:lvl w:ilvl="4">
      <w:start w:val="1"/>
      <w:numFmt w:val="bullet"/>
      <w:lvlText w:val="•"/>
      <w:lvlJc w:val="left"/>
      <w:pPr>
        <w:ind w:left="1700" w:hanging="340"/>
      </w:pPr>
      <w:rPr>
        <w:rFonts w:ascii="Times New Roman" w:cs="Times New Roman" w:eastAsia="Times New Roman" w:hAnsi="Times New Roman"/>
      </w:rPr>
    </w:lvl>
    <w:lvl w:ilvl="5">
      <w:start w:val="1"/>
      <w:numFmt w:val="bullet"/>
      <w:lvlText w:val="•"/>
      <w:lvlJc w:val="left"/>
      <w:pPr>
        <w:ind w:left="2040" w:hanging="340"/>
      </w:pPr>
      <w:rPr>
        <w:rFonts w:ascii="Times New Roman" w:cs="Times New Roman" w:eastAsia="Times New Roman" w:hAnsi="Times New Roman"/>
      </w:rPr>
    </w:lvl>
    <w:lvl w:ilvl="6">
      <w:start w:val="1"/>
      <w:numFmt w:val="bullet"/>
      <w:lvlText w:val="•"/>
      <w:lvlJc w:val="left"/>
      <w:pPr>
        <w:ind w:left="2380" w:hanging="340"/>
      </w:pPr>
      <w:rPr>
        <w:rFonts w:ascii="Times New Roman" w:cs="Times New Roman" w:eastAsia="Times New Roman" w:hAnsi="Times New Roman"/>
      </w:rPr>
    </w:lvl>
    <w:lvl w:ilvl="7">
      <w:start w:val="1"/>
      <w:numFmt w:val="bullet"/>
      <w:lvlText w:val="•"/>
      <w:lvlJc w:val="left"/>
      <w:pPr>
        <w:ind w:left="2720" w:hanging="340"/>
      </w:pPr>
      <w:rPr>
        <w:rFonts w:ascii="Times New Roman" w:cs="Times New Roman" w:eastAsia="Times New Roman" w:hAnsi="Times New Roman"/>
      </w:rPr>
    </w:lvl>
    <w:lvl w:ilvl="8">
      <w:start w:val="1"/>
      <w:numFmt w:val="bullet"/>
      <w:lvlText w:val="•"/>
      <w:lvlJc w:val="left"/>
      <w:pPr>
        <w:ind w:left="3060" w:hanging="340"/>
      </w:pPr>
      <w:rPr>
        <w:rFonts w:ascii="Times New Roman" w:cs="Times New Roman" w:eastAsia="Times New Roman" w:hAnsi="Times New Roman"/>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de-DE"/>
      </w:rPr>
    </w:rPrDefault>
    <w:pPrDefault>
      <w:pPr>
        <w:spacing w:after="24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480" w:line="240" w:lineRule="auto"/>
    </w:pPr>
    <w:rPr>
      <w:b w:val="1"/>
      <w:color w:val="002355"/>
      <w:sz w:val="40"/>
      <w:szCs w:val="40"/>
    </w:rPr>
  </w:style>
  <w:style w:type="paragraph" w:styleId="Heading2">
    <w:name w:val="heading 2"/>
    <w:basedOn w:val="Normal"/>
    <w:next w:val="Normal"/>
    <w:pPr>
      <w:keepNext w:val="1"/>
      <w:keepLines w:val="1"/>
      <w:spacing w:after="0" w:lineRule="auto"/>
    </w:pPr>
    <w:rPr>
      <w:b w:val="1"/>
      <w:color w:val="002355"/>
      <w:sz w:val="28"/>
      <w:szCs w:val="28"/>
    </w:rPr>
  </w:style>
  <w:style w:type="paragraph" w:styleId="Heading3">
    <w:name w:val="heading 3"/>
    <w:basedOn w:val="Normal"/>
    <w:next w:val="Normal"/>
    <w:pPr>
      <w:keepNext w:val="1"/>
      <w:keepLines w:val="1"/>
      <w:spacing w:after="0" w:lineRule="auto"/>
    </w:pPr>
    <w:rPr>
      <w:b w:val="1"/>
      <w:color w:val="002355"/>
    </w:rPr>
  </w:style>
  <w:style w:type="paragraph" w:styleId="Heading4">
    <w:name w:val="heading 4"/>
    <w:basedOn w:val="Normal"/>
    <w:next w:val="Normal"/>
    <w:pPr>
      <w:keepNext w:val="1"/>
      <w:keepLines w:val="1"/>
      <w:spacing w:after="0" w:lineRule="auto"/>
    </w:pPr>
    <w:rPr>
      <w:b w:val="1"/>
      <w:color w:val="000000"/>
    </w:rPr>
  </w:style>
  <w:style w:type="paragraph" w:styleId="Heading5">
    <w:name w:val="heading 5"/>
    <w:basedOn w:val="Normal"/>
    <w:next w:val="Normal"/>
    <w:pPr>
      <w:keepNext w:val="1"/>
      <w:keepLines w:val="1"/>
      <w:spacing w:after="0" w:lineRule="auto"/>
    </w:pPr>
    <w:rPr>
      <w:b w:val="1"/>
      <w:color w:val="000000"/>
    </w:rPr>
  </w:style>
  <w:style w:type="paragraph" w:styleId="Heading6">
    <w:name w:val="heading 6"/>
    <w:basedOn w:val="Normal"/>
    <w:next w:val="Normal"/>
    <w:pPr>
      <w:keepNext w:val="1"/>
      <w:keepLines w:val="1"/>
      <w:spacing w:after="0" w:lineRule="auto"/>
    </w:pPr>
    <w:rPr>
      <w:b w:val="1"/>
      <w:color w:val="00112a"/>
    </w:rPr>
  </w:style>
  <w:style w:type="paragraph" w:styleId="Title">
    <w:name w:val="Title"/>
    <w:basedOn w:val="Normal"/>
    <w:next w:val="Normal"/>
    <w:pPr>
      <w:tabs>
        <w:tab w:val="left" w:pos="850"/>
      </w:tabs>
      <w:spacing w:after="600" w:before="840" w:line="240" w:lineRule="auto"/>
    </w:pPr>
    <w:rPr>
      <w:b w:val="1"/>
      <w:color w:val="002355"/>
      <w:sz w:val="60"/>
      <w:szCs w:val="60"/>
    </w:rPr>
  </w:style>
  <w:style w:type="paragraph" w:styleId="Standard" w:default="1">
    <w:name w:val="Normal"/>
  </w:style>
  <w:style w:type="paragraph" w:styleId="berschrift1">
    <w:name w:val="heading 1"/>
    <w:basedOn w:val="Standard"/>
    <w:next w:val="Standard"/>
    <w:pPr>
      <w:keepNext w:val="1"/>
      <w:keepLines w:val="1"/>
      <w:spacing w:before="480" w:line="240" w:lineRule="auto"/>
      <w:outlineLvl w:val="0"/>
    </w:pPr>
    <w:rPr>
      <w:b w:val="1"/>
      <w:color w:val="002355"/>
      <w:sz w:val="40"/>
      <w:szCs w:val="40"/>
    </w:rPr>
  </w:style>
  <w:style w:type="paragraph" w:styleId="berschrift2">
    <w:name w:val="heading 2"/>
    <w:basedOn w:val="Standard"/>
    <w:next w:val="Standard"/>
    <w:pPr>
      <w:keepNext w:val="1"/>
      <w:keepLines w:val="1"/>
      <w:spacing w:after="0"/>
      <w:outlineLvl w:val="1"/>
    </w:pPr>
    <w:rPr>
      <w:b w:val="1"/>
      <w:color w:val="002355"/>
      <w:sz w:val="28"/>
      <w:szCs w:val="28"/>
    </w:rPr>
  </w:style>
  <w:style w:type="paragraph" w:styleId="berschrift3">
    <w:name w:val="heading 3"/>
    <w:basedOn w:val="Standard"/>
    <w:next w:val="Standard"/>
    <w:pPr>
      <w:keepNext w:val="1"/>
      <w:keepLines w:val="1"/>
      <w:spacing w:after="0"/>
      <w:outlineLvl w:val="2"/>
    </w:pPr>
    <w:rPr>
      <w:b w:val="1"/>
      <w:color w:val="002355"/>
    </w:rPr>
  </w:style>
  <w:style w:type="paragraph" w:styleId="berschrift4">
    <w:name w:val="heading 4"/>
    <w:basedOn w:val="Standard"/>
    <w:next w:val="Standard"/>
    <w:pPr>
      <w:keepNext w:val="1"/>
      <w:keepLines w:val="1"/>
      <w:spacing w:after="0"/>
      <w:outlineLvl w:val="3"/>
    </w:pPr>
    <w:rPr>
      <w:b w:val="1"/>
      <w:color w:val="000000"/>
    </w:rPr>
  </w:style>
  <w:style w:type="paragraph" w:styleId="berschrift5">
    <w:name w:val="heading 5"/>
    <w:basedOn w:val="Standard"/>
    <w:next w:val="Standard"/>
    <w:pPr>
      <w:keepNext w:val="1"/>
      <w:keepLines w:val="1"/>
      <w:spacing w:after="0"/>
      <w:outlineLvl w:val="4"/>
    </w:pPr>
    <w:rPr>
      <w:b w:val="1"/>
      <w:color w:val="000000"/>
    </w:rPr>
  </w:style>
  <w:style w:type="paragraph" w:styleId="berschrift6">
    <w:name w:val="heading 6"/>
    <w:basedOn w:val="Standard"/>
    <w:next w:val="Standard"/>
    <w:pPr>
      <w:keepNext w:val="1"/>
      <w:keepLines w:val="1"/>
      <w:spacing w:after="0"/>
      <w:outlineLvl w:val="5"/>
    </w:pPr>
    <w:rPr>
      <w:b w:val="1"/>
      <w:color w:val="00112a"/>
    </w:rPr>
  </w:style>
  <w:style w:type="character" w:styleId="Absatz-Standardschriftart" w:default="1">
    <w:name w:val="Default Paragraph Font"/>
    <w:uiPriority w:val="1"/>
    <w:semiHidden w:val="1"/>
    <w:unhideWhenUsed w:val="1"/>
  </w:style>
  <w:style w:type="table" w:styleId="NormaleTabelle" w:default="1">
    <w:name w:val="Normal Table"/>
    <w:uiPriority w:val="99"/>
    <w:semiHidden w:val="1"/>
    <w:unhideWhenUsed w:val="1"/>
    <w:tblPr>
      <w:tblInd w:w="0.0" w:type="dxa"/>
      <w:tblCellMar>
        <w:top w:w="0.0" w:type="dxa"/>
        <w:left w:w="108.0" w:type="dxa"/>
        <w:bottom w:w="0.0" w:type="dxa"/>
        <w:right w:w="108.0" w:type="dxa"/>
      </w:tblCellMar>
    </w:tblPr>
  </w:style>
  <w:style w:type="numbering" w:styleId="KeineListe"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Titel">
    <w:name w:val="Title"/>
    <w:basedOn w:val="Standard"/>
    <w:next w:val="Standard"/>
    <w:pPr>
      <w:tabs>
        <w:tab w:val="left" w:pos="850"/>
      </w:tabs>
      <w:spacing w:after="600" w:before="840" w:line="240" w:lineRule="auto"/>
    </w:pPr>
    <w:rPr>
      <w:b w:val="1"/>
      <w:color w:val="002355"/>
      <w:sz w:val="60"/>
      <w:szCs w:val="60"/>
    </w:rPr>
  </w:style>
  <w:style w:type="table" w:styleId="TableNormal0" w:customStyle="1">
    <w:name w:val="Table Normal"/>
    <w:tblPr>
      <w:tblCellMar>
        <w:top w:w="0.0" w:type="dxa"/>
        <w:left w:w="0.0" w:type="dxa"/>
        <w:bottom w:w="0.0" w:type="dxa"/>
        <w:right w:w="0.0" w:type="dxa"/>
      </w:tblCellMar>
    </w:tblPr>
  </w:style>
  <w:style w:type="paragraph" w:styleId="Untertitel">
    <w:name w:val="Subtitle"/>
    <w:basedOn w:val="Standard"/>
    <w:next w:val="Standard"/>
    <w:pPr>
      <w:spacing w:line="240" w:lineRule="auto"/>
    </w:pPr>
    <w:rPr>
      <w:color w:val="002355"/>
      <w:sz w:val="28"/>
      <w:szCs w:val="28"/>
    </w:rPr>
  </w:style>
  <w:style w:type="table" w:styleId="a" w:customStyle="1">
    <w:basedOn w:val="TableNormal0"/>
    <w:pPr>
      <w:spacing w:after="0" w:line="240" w:lineRule="auto"/>
    </w:pPr>
    <w:rPr>
      <w:sz w:val="17"/>
      <w:szCs w:val="17"/>
    </w:rPr>
    <w:tblPr>
      <w:tblStyleRowBandSize w:val="1"/>
      <w:tblStyleColBandSize w:val="1"/>
      <w:tblCellMar>
        <w:top w:w="57.0" w:type="dxa"/>
        <w:left w:w="0.0" w:type="dxa"/>
        <w:bottom w:w="28.0" w:type="dxa"/>
        <w:right w:w="0.0" w:type="dxa"/>
      </w:tblCellMar>
    </w:tblPr>
  </w:style>
  <w:style w:type="table" w:styleId="a0" w:customStyle="1">
    <w:basedOn w:val="TableNormal0"/>
    <w:pPr>
      <w:spacing w:after="0" w:line="240" w:lineRule="auto"/>
    </w:pPr>
    <w:rPr>
      <w:sz w:val="17"/>
      <w:szCs w:val="17"/>
    </w:rPr>
    <w:tblPr>
      <w:tblStyleRowBandSize w:val="1"/>
      <w:tblStyleColBandSize w:val="1"/>
      <w:tblCellMar>
        <w:top w:w="57.0" w:type="dxa"/>
        <w:left w:w="0.0" w:type="dxa"/>
        <w:bottom w:w="28.0" w:type="dxa"/>
        <w:right w:w="0.0" w:type="dxa"/>
      </w:tblCellMar>
    </w:tblPr>
  </w:style>
  <w:style w:type="table" w:styleId="a1" w:customStyle="1">
    <w:basedOn w:val="TableNormal0"/>
    <w:pPr>
      <w:spacing w:after="0" w:line="240" w:lineRule="auto"/>
    </w:pPr>
    <w:rPr>
      <w:sz w:val="17"/>
      <w:szCs w:val="17"/>
    </w:rPr>
    <w:tblPr>
      <w:tblStyleRowBandSize w:val="1"/>
      <w:tblStyleColBandSize w:val="1"/>
      <w:tblCellMar>
        <w:top w:w="57.0" w:type="dxa"/>
        <w:left w:w="0.0" w:type="dxa"/>
        <w:bottom w:w="28.0" w:type="dxa"/>
        <w:right w:w="0.0" w:type="dxa"/>
      </w:tblCellMar>
    </w:tblPr>
  </w:style>
  <w:style w:type="table" w:styleId="a2" w:customStyle="1">
    <w:basedOn w:val="TableNormal0"/>
    <w:pPr>
      <w:spacing w:after="0" w:line="240" w:lineRule="auto"/>
    </w:pPr>
    <w:rPr>
      <w:sz w:val="17"/>
      <w:szCs w:val="17"/>
    </w:rPr>
    <w:tblPr>
      <w:tblStyleRowBandSize w:val="1"/>
      <w:tblStyleColBandSize w:val="1"/>
      <w:tblCellMar>
        <w:top w:w="57.0" w:type="dxa"/>
        <w:left w:w="0.0" w:type="dxa"/>
        <w:bottom w:w="28.0" w:type="dxa"/>
        <w:right w:w="0.0" w:type="dxa"/>
      </w:tblCellMar>
    </w:tblPr>
  </w:style>
  <w:style w:type="paragraph" w:styleId="Subtitle">
    <w:name w:val="Subtitle"/>
    <w:basedOn w:val="Normal"/>
    <w:next w:val="Normal"/>
    <w:pPr>
      <w:spacing w:line="240" w:lineRule="auto"/>
    </w:pPr>
    <w:rPr>
      <w:color w:val="002355"/>
      <w:sz w:val="28"/>
      <w:szCs w:val="28"/>
    </w:rPr>
  </w:style>
  <w:style w:type="table" w:styleId="Table1">
    <w:basedOn w:val="TableNormal"/>
    <w:pPr>
      <w:spacing w:after="0" w:line="240" w:lineRule="auto"/>
    </w:pPr>
    <w:rPr>
      <w:sz w:val="17"/>
      <w:szCs w:val="17"/>
    </w:rPr>
    <w:tblPr>
      <w:tblStyleRowBandSize w:val="1"/>
      <w:tblStyleColBandSize w:val="1"/>
      <w:tblCellMar>
        <w:top w:w="57.0" w:type="dxa"/>
        <w:left w:w="0.0" w:type="dxa"/>
        <w:bottom w:w="28.0" w:type="dxa"/>
        <w:right w:w="0.0" w:type="dxa"/>
      </w:tblCellMar>
    </w:tblPr>
  </w:style>
  <w:style w:type="table" w:styleId="Table2">
    <w:basedOn w:val="TableNormal"/>
    <w:pPr>
      <w:spacing w:after="0" w:line="240" w:lineRule="auto"/>
    </w:pPr>
    <w:rPr>
      <w:sz w:val="17"/>
      <w:szCs w:val="17"/>
    </w:rPr>
    <w:tblPr>
      <w:tblStyleRowBandSize w:val="1"/>
      <w:tblStyleColBandSize w:val="1"/>
      <w:tblCellMar>
        <w:top w:w="57.0" w:type="dxa"/>
        <w:left w:w="0.0" w:type="dxa"/>
        <w:bottom w:w="28.0" w:type="dxa"/>
        <w:right w:w="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eader" Target="header2.xml"/><Relationship Id="rId10" Type="http://schemas.openxmlformats.org/officeDocument/2006/relationships/header" Target="header3.xml"/><Relationship Id="rId13" Type="http://schemas.openxmlformats.org/officeDocument/2006/relationships/footer" Target="footer2.xml"/><Relationship Id="rId12" Type="http://schemas.openxmlformats.org/officeDocument/2006/relationships/footer" Target="footer3.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eader" Target="header1.xml"/><Relationship Id="rId14"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mailto:dagmar.ringel@koenig-bauer.com" TargetMode="External"/><Relationship Id="rId8" Type="http://schemas.openxmlformats.org/officeDocument/2006/relationships/hyperlink" Target="http://www.koenig-bauer.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reRRLVUERDItYs2phOJaPVBJJvg==">AMUW2mUawpKtabDWY3OU67WIukXUavoM2K96h71qu1pE8f88Bfd86k6C7m0PN5vHADd0yB3Bux8rrO74y5E1ya1Jjk+j+vELeEsG2u/Zv9J0tpS8A06agIQWmSe426eViXEuFODbpg6mH6s0RslKmpSUyKd52iB78DilVabi9Nc48MMcZeTV6yh6uj6+5aV04rULJW4LyhuewvoNAcYhrywGT4fEZ7z1NwnPnpfogUyejuKOvpSOnWPCf5oaelUmLrvCiKJpUaZF/AQQ1Ji+qK/0uZo3tWRa5RIUcnws1IhkGQZHSZ9ykdU=</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2022-03-31T09:34:00Z</dcterms:created>
  <dc:creator>Ringel, Dagmar (ZM)</dc:creator>
</cp:coreProperties>
</file>